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240A" w14:textId="5AFB072F" w:rsidR="4CEC3001" w:rsidRDefault="4CEC3001" w:rsidP="4CEC3001">
      <w:pPr>
        <w:jc w:val="center"/>
      </w:pPr>
    </w:p>
    <w:p w14:paraId="6C32BE33" w14:textId="124A35DC" w:rsidR="750FFA74" w:rsidRPr="00292772" w:rsidRDefault="00533838" w:rsidP="1E5994AE">
      <w:pPr>
        <w:pStyle w:val="Title"/>
        <w:rPr>
          <w:rFonts w:ascii="Neutrif Pro Bold" w:eastAsia="Neutrif Pro" w:hAnsi="Neutrif Pro Bold" w:cs="Neutrif Pro"/>
          <w:lang w:val="en-GB"/>
        </w:rPr>
      </w:pPr>
      <w:r>
        <w:rPr>
          <w:rFonts w:ascii="Neutrif Pro Bold" w:hAnsi="Neutrif Pro Bold"/>
        </w:rPr>
        <w:t>Complaints Procedure</w:t>
      </w:r>
    </w:p>
    <w:p w14:paraId="70EBE262" w14:textId="7A0B6FD6" w:rsidR="0FEB2981" w:rsidRPr="00292772" w:rsidRDefault="00533838" w:rsidP="4A0C6C53">
      <w:pPr>
        <w:pStyle w:val="Subtitle"/>
        <w:rPr>
          <w:rFonts w:ascii="Neutrif Pro Bold" w:hAnsi="Neutrif Pro Bold"/>
        </w:rPr>
      </w:pPr>
      <w:r>
        <w:rPr>
          <w:rFonts w:ascii="Neutrif Pro Bold" w:hAnsi="Neutrif Pro Bold"/>
        </w:rPr>
        <w:t>(Fundraising)</w:t>
      </w:r>
    </w:p>
    <w:p w14:paraId="47317F7B" w14:textId="3D7416DD" w:rsidR="2C55ADAD" w:rsidRDefault="2C55ADAD" w:rsidP="4A0C6C53"/>
    <w:tbl>
      <w:tblPr>
        <w:tblStyle w:val="TableGrid"/>
        <w:tblpPr w:leftFromText="180" w:rightFromText="180" w:vertAnchor="text" w:horzAnchor="margin" w:tblpY="502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404567" w14:paraId="6B75DA1D" w14:textId="77777777" w:rsidTr="00404567">
        <w:trPr>
          <w:trHeight w:val="300"/>
        </w:trPr>
        <w:tc>
          <w:tcPr>
            <w:tcW w:w="2254" w:type="dxa"/>
            <w:shd w:val="clear" w:color="auto" w:fill="DAE8F8"/>
          </w:tcPr>
          <w:p w14:paraId="502ED632" w14:textId="77777777" w:rsidR="00404567" w:rsidRDefault="00404567" w:rsidP="0040456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37388504">
              <w:rPr>
                <w:rFonts w:ascii="Aptos" w:eastAsia="Aptos" w:hAnsi="Aptos" w:cs="Aptos"/>
                <w:b/>
                <w:bCs/>
              </w:rPr>
              <w:t>Author/Owner</w:t>
            </w:r>
          </w:p>
        </w:tc>
        <w:tc>
          <w:tcPr>
            <w:tcW w:w="2254" w:type="dxa"/>
            <w:shd w:val="clear" w:color="auto" w:fill="DAE8F8"/>
          </w:tcPr>
          <w:p w14:paraId="2FDC133B" w14:textId="77777777" w:rsidR="00404567" w:rsidRDefault="00404567" w:rsidP="0040456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37388504">
              <w:rPr>
                <w:rFonts w:ascii="Aptos" w:eastAsia="Aptos" w:hAnsi="Aptos" w:cs="Aptos"/>
                <w:b/>
                <w:bCs/>
              </w:rPr>
              <w:t>Last Review Date</w:t>
            </w:r>
          </w:p>
        </w:tc>
        <w:tc>
          <w:tcPr>
            <w:tcW w:w="2254" w:type="dxa"/>
            <w:shd w:val="clear" w:color="auto" w:fill="DAE8F8"/>
          </w:tcPr>
          <w:p w14:paraId="28DA9AD2" w14:textId="77777777" w:rsidR="00404567" w:rsidRDefault="00404567" w:rsidP="0040456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37388504">
              <w:rPr>
                <w:rFonts w:ascii="Aptos" w:eastAsia="Aptos" w:hAnsi="Aptos" w:cs="Aptos"/>
                <w:b/>
                <w:bCs/>
              </w:rPr>
              <w:t>Next Review Date</w:t>
            </w:r>
          </w:p>
        </w:tc>
        <w:tc>
          <w:tcPr>
            <w:tcW w:w="2254" w:type="dxa"/>
            <w:shd w:val="clear" w:color="auto" w:fill="DAE8F8"/>
          </w:tcPr>
          <w:p w14:paraId="657242B4" w14:textId="77777777" w:rsidR="00404567" w:rsidRDefault="00404567" w:rsidP="00404567">
            <w:pPr>
              <w:jc w:val="center"/>
              <w:rPr>
                <w:rFonts w:ascii="Aptos" w:eastAsia="Aptos" w:hAnsi="Aptos" w:cs="Aptos"/>
                <w:b/>
                <w:bCs/>
              </w:rPr>
            </w:pPr>
            <w:r w:rsidRPr="37388504">
              <w:rPr>
                <w:rFonts w:ascii="Aptos" w:eastAsia="Aptos" w:hAnsi="Aptos" w:cs="Aptos"/>
                <w:b/>
                <w:bCs/>
              </w:rPr>
              <w:t>Comments</w:t>
            </w:r>
          </w:p>
        </w:tc>
      </w:tr>
      <w:tr w:rsidR="00404567" w14:paraId="0089DCF1" w14:textId="77777777" w:rsidTr="00404567">
        <w:trPr>
          <w:trHeight w:val="300"/>
        </w:trPr>
        <w:tc>
          <w:tcPr>
            <w:tcW w:w="2254" w:type="dxa"/>
          </w:tcPr>
          <w:p w14:paraId="233D8BDD" w14:textId="77777777" w:rsidR="00404567" w:rsidRPr="00B66AE9" w:rsidRDefault="00404567" w:rsidP="00404567">
            <w:pPr>
              <w:rPr>
                <w:rFonts w:ascii="Aptos" w:eastAsia="Aptos" w:hAnsi="Aptos" w:cs="Aptos"/>
              </w:rPr>
            </w:pPr>
            <w:r w:rsidRPr="00B66AE9">
              <w:rPr>
                <w:rFonts w:ascii="Aptos" w:eastAsia="Aptos" w:hAnsi="Aptos" w:cs="Aptos"/>
              </w:rPr>
              <w:t>Fundraising Officer</w:t>
            </w:r>
          </w:p>
        </w:tc>
        <w:tc>
          <w:tcPr>
            <w:tcW w:w="2254" w:type="dxa"/>
          </w:tcPr>
          <w:p w14:paraId="0B2B648C" w14:textId="77777777" w:rsidR="00404567" w:rsidRPr="00B66AE9" w:rsidRDefault="00404567" w:rsidP="00404567">
            <w:pPr>
              <w:rPr>
                <w:rFonts w:ascii="Aptos" w:eastAsia="Aptos" w:hAnsi="Aptos" w:cs="Aptos"/>
              </w:rPr>
            </w:pPr>
            <w:r w:rsidRPr="00B66AE9">
              <w:rPr>
                <w:rFonts w:ascii="Aptos" w:eastAsia="Aptos" w:hAnsi="Aptos" w:cs="Aptos"/>
              </w:rPr>
              <w:t>13/02/2026</w:t>
            </w:r>
          </w:p>
        </w:tc>
        <w:tc>
          <w:tcPr>
            <w:tcW w:w="2254" w:type="dxa"/>
          </w:tcPr>
          <w:p w14:paraId="1ABCF85F" w14:textId="77777777" w:rsidR="00404567" w:rsidRPr="00B66AE9" w:rsidRDefault="00404567" w:rsidP="00404567">
            <w:pPr>
              <w:rPr>
                <w:rFonts w:ascii="Aptos" w:eastAsia="Aptos" w:hAnsi="Aptos" w:cs="Aptos"/>
              </w:rPr>
            </w:pPr>
            <w:r w:rsidRPr="00B66AE9">
              <w:rPr>
                <w:rFonts w:ascii="Aptos" w:eastAsia="Aptos" w:hAnsi="Aptos" w:cs="Aptos"/>
              </w:rPr>
              <w:t>13/02/2027</w:t>
            </w:r>
          </w:p>
        </w:tc>
        <w:tc>
          <w:tcPr>
            <w:tcW w:w="2254" w:type="dxa"/>
          </w:tcPr>
          <w:p w14:paraId="5E91201D" w14:textId="77777777" w:rsidR="00404567" w:rsidRPr="00B66AE9" w:rsidRDefault="00404567" w:rsidP="00404567">
            <w:pPr>
              <w:rPr>
                <w:rFonts w:ascii="Aptos" w:eastAsia="Aptos" w:hAnsi="Aptos" w:cs="Aptos"/>
              </w:rPr>
            </w:pPr>
          </w:p>
        </w:tc>
      </w:tr>
      <w:tr w:rsidR="00404567" w14:paraId="391A5AF6" w14:textId="77777777" w:rsidTr="00404567">
        <w:trPr>
          <w:trHeight w:val="300"/>
        </w:trPr>
        <w:tc>
          <w:tcPr>
            <w:tcW w:w="2254" w:type="dxa"/>
          </w:tcPr>
          <w:p w14:paraId="43EDCC50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14C3ECD6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3B618F88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28CC1A51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</w:tr>
      <w:tr w:rsidR="00404567" w14:paraId="64821350" w14:textId="77777777" w:rsidTr="00404567">
        <w:trPr>
          <w:trHeight w:val="300"/>
        </w:trPr>
        <w:tc>
          <w:tcPr>
            <w:tcW w:w="2254" w:type="dxa"/>
          </w:tcPr>
          <w:p w14:paraId="4320586C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4AED04E5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01E1A0FC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47E98437" w14:textId="77777777" w:rsidR="00404567" w:rsidRDefault="00404567" w:rsidP="00404567">
            <w:pPr>
              <w:rPr>
                <w:rFonts w:ascii="Aptos" w:eastAsia="Aptos" w:hAnsi="Aptos" w:cs="Aptos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10CEABB" w14:textId="77777777" w:rsidR="00404567" w:rsidRDefault="2C55ADAD" w:rsidP="4A0C6C53">
      <w:r>
        <w:br w:type="page"/>
      </w:r>
    </w:p>
    <w:p w14:paraId="48FD6CEB" w14:textId="77777777" w:rsidR="00237FD1" w:rsidRPr="00237FD1" w:rsidRDefault="00237FD1" w:rsidP="00237FD1">
      <w:pPr>
        <w:jc w:val="both"/>
        <w:rPr>
          <w:rFonts w:ascii="Neutrif Pro Bold" w:eastAsia="Aptos" w:hAnsi="Neutrif Pro Bold"/>
          <w:b/>
          <w:bCs/>
          <w:sz w:val="32"/>
          <w:szCs w:val="32"/>
        </w:rPr>
      </w:pPr>
      <w:r w:rsidRPr="00237FD1">
        <w:rPr>
          <w:rFonts w:ascii="Neutrif Pro Bold" w:eastAsia="Aptos" w:hAnsi="Neutrif Pro Bold"/>
          <w:b/>
          <w:bCs/>
          <w:sz w:val="32"/>
          <w:szCs w:val="32"/>
        </w:rPr>
        <w:lastRenderedPageBreak/>
        <w:t>Contents:</w:t>
      </w:r>
    </w:p>
    <w:p w14:paraId="3D485A19" w14:textId="77777777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Purpose…………………………………………………………………………………………………3</w:t>
      </w:r>
    </w:p>
    <w:p w14:paraId="1BB54C0C" w14:textId="77777777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Scope……………………………………………………………………………………………………3</w:t>
      </w:r>
    </w:p>
    <w:p w14:paraId="15332F78" w14:textId="5EEA2AEC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How to make a complaint…………………………………………………………………………</w:t>
      </w:r>
      <w:r w:rsidR="00804983">
        <w:rPr>
          <w:rFonts w:ascii="Neutrif Pro" w:eastAsia="Aptos" w:hAnsi="Neutrif Pro"/>
        </w:rPr>
        <w:t>4</w:t>
      </w:r>
    </w:p>
    <w:p w14:paraId="67B0D087" w14:textId="77777777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Handling of complaints…………………………………………………………………………….4</w:t>
      </w:r>
    </w:p>
    <w:p w14:paraId="053CC541" w14:textId="77777777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Escalation………………………………………………………………………………………………5</w:t>
      </w:r>
    </w:p>
    <w:p w14:paraId="07680BE9" w14:textId="77777777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Learning and Improvement……………………………………………………………………….5</w:t>
      </w:r>
    </w:p>
    <w:p w14:paraId="3D9D8D16" w14:textId="16DD5979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Confidentiality and data Protection……………………………………………………………</w:t>
      </w:r>
      <w:r w:rsidR="00804983">
        <w:rPr>
          <w:rFonts w:ascii="Neutrif Pro" w:eastAsia="Aptos" w:hAnsi="Neutrif Pro"/>
        </w:rPr>
        <w:t>6</w:t>
      </w:r>
    </w:p>
    <w:p w14:paraId="603A5B9C" w14:textId="7DFA6F8A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Equality and Accessibility………………………………………………………….…………</w:t>
      </w:r>
      <w:proofErr w:type="gramStart"/>
      <w:r w:rsidRPr="00237FD1">
        <w:rPr>
          <w:rFonts w:ascii="Neutrif Pro" w:eastAsia="Aptos" w:hAnsi="Neutrif Pro"/>
        </w:rPr>
        <w:t>…..</w:t>
      </w:r>
      <w:proofErr w:type="gramEnd"/>
      <w:r w:rsidR="00804983">
        <w:rPr>
          <w:rFonts w:ascii="Neutrif Pro" w:eastAsia="Aptos" w:hAnsi="Neutrif Pro"/>
        </w:rPr>
        <w:t>6</w:t>
      </w:r>
    </w:p>
    <w:p w14:paraId="39D9489D" w14:textId="7BD7ECC4" w:rsidR="00237FD1" w:rsidRPr="00237FD1" w:rsidRDefault="00237FD1" w:rsidP="00237FD1">
      <w:pPr>
        <w:pStyle w:val="ListParagraph"/>
        <w:numPr>
          <w:ilvl w:val="0"/>
          <w:numId w:val="1"/>
        </w:numPr>
        <w:jc w:val="both"/>
        <w:rPr>
          <w:rFonts w:ascii="Neutrif Pro" w:eastAsia="Aptos" w:hAnsi="Neutrif Pro"/>
        </w:rPr>
      </w:pPr>
      <w:r w:rsidRPr="00237FD1">
        <w:rPr>
          <w:rFonts w:ascii="Neutrif Pro" w:eastAsia="Aptos" w:hAnsi="Neutrif Pro"/>
        </w:rPr>
        <w:t>Review of the Process………………………………………………………………………………</w:t>
      </w:r>
      <w:r w:rsidR="00804983">
        <w:rPr>
          <w:rFonts w:ascii="Neutrif Pro" w:eastAsia="Aptos" w:hAnsi="Neutrif Pro"/>
        </w:rPr>
        <w:t>6</w:t>
      </w:r>
    </w:p>
    <w:p w14:paraId="5FC379D0" w14:textId="77777777" w:rsidR="00237FD1" w:rsidRDefault="00237FD1" w:rsidP="00237FD1">
      <w:pPr>
        <w:rPr>
          <w:rFonts w:eastAsia="Aptos"/>
        </w:rPr>
      </w:pPr>
    </w:p>
    <w:p w14:paraId="3D2AA283" w14:textId="036090C2" w:rsidR="00273FBA" w:rsidRDefault="00273FBA" w:rsidP="4A0C6C53"/>
    <w:p w14:paraId="2A9E21B8" w14:textId="77777777" w:rsidR="00273FBA" w:rsidRDefault="00273FBA">
      <w:r>
        <w:br w:type="page"/>
      </w:r>
    </w:p>
    <w:p w14:paraId="098D102D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lastRenderedPageBreak/>
        <w:t xml:space="preserve">The following procedure applies to all fundraising activities carried out by </w:t>
      </w:r>
      <w:r>
        <w:rPr>
          <w:rFonts w:eastAsia="Aptos"/>
        </w:rPr>
        <w:t>The Carr Fenton Foundation</w:t>
      </w:r>
      <w:r w:rsidRPr="37388504">
        <w:rPr>
          <w:rFonts w:eastAsia="Aptos"/>
        </w:rPr>
        <w:t>, including staff, volunteers, trustees, and contractors acting on our behalf.</w:t>
      </w:r>
    </w:p>
    <w:p w14:paraId="03B232C4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1. Purpose</w:t>
      </w:r>
    </w:p>
    <w:p w14:paraId="66524751" w14:textId="77777777" w:rsidR="00BE5CC9" w:rsidRDefault="00BE5CC9" w:rsidP="00BE5CC9">
      <w:r w:rsidRPr="37388504">
        <w:rPr>
          <w:rFonts w:eastAsia="Aptos"/>
        </w:rPr>
        <w:t>Doncaster Deaf Trust is committed to high standards of fundraising practice and to treating all donors, supporters, beneficiaries, and members of the public fairly, respectfully, and honestly.</w:t>
      </w:r>
    </w:p>
    <w:p w14:paraId="7D86DE84" w14:textId="77777777" w:rsidR="00BE5CC9" w:rsidRDefault="00BE5CC9" w:rsidP="00BE5CC9">
      <w:r w:rsidRPr="37388504">
        <w:rPr>
          <w:rFonts w:eastAsia="Aptos"/>
        </w:rPr>
        <w:t>This procedure explains how complaints relating to fundraising activities will be handled, ensuring they are:</w:t>
      </w:r>
    </w:p>
    <w:p w14:paraId="3A1363F7" w14:textId="77777777" w:rsidR="00BE5CC9" w:rsidRPr="00640E99" w:rsidRDefault="00BE5CC9" w:rsidP="00BE5CC9">
      <w:pPr>
        <w:pStyle w:val="ListParagraph"/>
        <w:numPr>
          <w:ilvl w:val="0"/>
          <w:numId w:val="2"/>
        </w:numPr>
        <w:rPr>
          <w:rFonts w:eastAsia="Aptos"/>
        </w:rPr>
      </w:pPr>
      <w:r w:rsidRPr="00640E99">
        <w:rPr>
          <w:rFonts w:eastAsia="Aptos"/>
        </w:rPr>
        <w:t>Taken seriously</w:t>
      </w:r>
    </w:p>
    <w:p w14:paraId="14EED7DF" w14:textId="77777777" w:rsidR="00BE5CC9" w:rsidRPr="00640E99" w:rsidRDefault="00BE5CC9" w:rsidP="00BE5CC9">
      <w:pPr>
        <w:pStyle w:val="ListParagraph"/>
        <w:numPr>
          <w:ilvl w:val="0"/>
          <w:numId w:val="2"/>
        </w:numPr>
        <w:rPr>
          <w:rFonts w:eastAsia="Aptos"/>
        </w:rPr>
      </w:pPr>
      <w:r w:rsidRPr="00640E99">
        <w:rPr>
          <w:rFonts w:eastAsia="Aptos"/>
        </w:rPr>
        <w:t>Dealt with promptly and fairly</w:t>
      </w:r>
    </w:p>
    <w:p w14:paraId="29DC3106" w14:textId="77777777" w:rsidR="00BE5CC9" w:rsidRDefault="00BE5CC9" w:rsidP="00BE5CC9">
      <w:pPr>
        <w:pStyle w:val="ListParagraph"/>
        <w:numPr>
          <w:ilvl w:val="0"/>
          <w:numId w:val="2"/>
        </w:numPr>
        <w:rPr>
          <w:rFonts w:eastAsia="Aptos"/>
        </w:rPr>
      </w:pPr>
      <w:r w:rsidRPr="00640E99">
        <w:rPr>
          <w:rFonts w:eastAsia="Aptos"/>
        </w:rPr>
        <w:t>Used to improve our fundraising practice</w:t>
      </w:r>
    </w:p>
    <w:p w14:paraId="2C30D0A2" w14:textId="77777777" w:rsidR="00804983" w:rsidRPr="00804983" w:rsidRDefault="00804983" w:rsidP="00804983">
      <w:pPr>
        <w:rPr>
          <w:rFonts w:eastAsia="Aptos"/>
        </w:rPr>
      </w:pPr>
    </w:p>
    <w:p w14:paraId="7F5170B1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2. Scope</w:t>
      </w:r>
    </w:p>
    <w:p w14:paraId="725D3B5F" w14:textId="77777777" w:rsidR="00BE5CC9" w:rsidRDefault="00BE5CC9" w:rsidP="00BE5CC9">
      <w:r w:rsidRPr="37388504">
        <w:rPr>
          <w:rFonts w:eastAsia="Aptos"/>
        </w:rPr>
        <w:t>This procedure applies to complaints about:</w:t>
      </w:r>
    </w:p>
    <w:p w14:paraId="7DBB9C20" w14:textId="77777777" w:rsidR="00BE5CC9" w:rsidRPr="00640E99" w:rsidRDefault="00BE5CC9" w:rsidP="00BE5CC9">
      <w:pPr>
        <w:pStyle w:val="ListParagraph"/>
        <w:numPr>
          <w:ilvl w:val="0"/>
          <w:numId w:val="3"/>
        </w:numPr>
        <w:rPr>
          <w:rFonts w:eastAsia="Aptos"/>
        </w:rPr>
      </w:pPr>
      <w:r w:rsidRPr="00640E99">
        <w:rPr>
          <w:rFonts w:eastAsia="Aptos"/>
        </w:rPr>
        <w:t>Fundraising communications (letters, emails, phone calls, text messages, social media, face</w:t>
      </w:r>
      <w:r w:rsidRPr="00640E99">
        <w:rPr>
          <w:rFonts w:ascii="Cambria Math" w:eastAsia="Aptos" w:hAnsi="Cambria Math" w:cs="Cambria Math"/>
        </w:rPr>
        <w:t>‑</w:t>
      </w:r>
      <w:r w:rsidRPr="00640E99">
        <w:rPr>
          <w:rFonts w:eastAsia="Aptos"/>
        </w:rPr>
        <w:t>to</w:t>
      </w:r>
      <w:r w:rsidRPr="00640E99">
        <w:rPr>
          <w:rFonts w:ascii="Cambria Math" w:eastAsia="Aptos" w:hAnsi="Cambria Math" w:cs="Cambria Math"/>
        </w:rPr>
        <w:t>‑</w:t>
      </w:r>
      <w:r w:rsidRPr="00640E99">
        <w:rPr>
          <w:rFonts w:eastAsia="Aptos"/>
        </w:rPr>
        <w:t>face fundraising)</w:t>
      </w:r>
    </w:p>
    <w:p w14:paraId="21617821" w14:textId="77777777" w:rsidR="00BE5CC9" w:rsidRPr="00640E99" w:rsidRDefault="00BE5CC9" w:rsidP="00BE5CC9">
      <w:pPr>
        <w:pStyle w:val="ListParagraph"/>
        <w:numPr>
          <w:ilvl w:val="0"/>
          <w:numId w:val="3"/>
        </w:numPr>
        <w:rPr>
          <w:rFonts w:eastAsia="Aptos"/>
        </w:rPr>
      </w:pPr>
      <w:r w:rsidRPr="00640E99">
        <w:rPr>
          <w:rFonts w:eastAsia="Aptos"/>
        </w:rPr>
        <w:t>Fundraising events and campaigns</w:t>
      </w:r>
    </w:p>
    <w:p w14:paraId="334A513F" w14:textId="77777777" w:rsidR="00BE5CC9" w:rsidRPr="00640E99" w:rsidRDefault="00BE5CC9" w:rsidP="00BE5CC9">
      <w:pPr>
        <w:pStyle w:val="ListParagraph"/>
        <w:numPr>
          <w:ilvl w:val="0"/>
          <w:numId w:val="3"/>
        </w:numPr>
        <w:rPr>
          <w:rFonts w:eastAsia="Aptos"/>
        </w:rPr>
      </w:pPr>
      <w:r w:rsidRPr="00640E99">
        <w:rPr>
          <w:rFonts w:eastAsia="Aptos"/>
        </w:rPr>
        <w:t>Conduct or behaviour of staff, volunteers, or third</w:t>
      </w:r>
      <w:r w:rsidRPr="00640E99">
        <w:rPr>
          <w:rFonts w:ascii="Cambria Math" w:eastAsia="Aptos" w:hAnsi="Cambria Math" w:cs="Cambria Math"/>
        </w:rPr>
        <w:t>‑</w:t>
      </w:r>
      <w:r w:rsidRPr="00640E99">
        <w:rPr>
          <w:rFonts w:eastAsia="Aptos"/>
        </w:rPr>
        <w:t>party fundraisers</w:t>
      </w:r>
    </w:p>
    <w:p w14:paraId="451BADC3" w14:textId="77777777" w:rsidR="00BE5CC9" w:rsidRPr="00640E99" w:rsidRDefault="00BE5CC9" w:rsidP="00BE5CC9">
      <w:pPr>
        <w:pStyle w:val="ListParagraph"/>
        <w:numPr>
          <w:ilvl w:val="0"/>
          <w:numId w:val="3"/>
        </w:numPr>
        <w:rPr>
          <w:rFonts w:eastAsia="Aptos"/>
        </w:rPr>
      </w:pPr>
      <w:r w:rsidRPr="00640E99">
        <w:rPr>
          <w:rFonts w:eastAsia="Aptos"/>
        </w:rPr>
        <w:t>Data protection or use of personal information in fundraising</w:t>
      </w:r>
    </w:p>
    <w:p w14:paraId="51E5DD71" w14:textId="77777777" w:rsidR="00BE5CC9" w:rsidRPr="00640E99" w:rsidRDefault="00BE5CC9" w:rsidP="00BE5CC9">
      <w:pPr>
        <w:pStyle w:val="ListParagraph"/>
        <w:numPr>
          <w:ilvl w:val="0"/>
          <w:numId w:val="3"/>
        </w:numPr>
        <w:rPr>
          <w:rFonts w:eastAsia="Aptos"/>
        </w:rPr>
      </w:pPr>
      <w:r w:rsidRPr="00640E99">
        <w:rPr>
          <w:rFonts w:eastAsia="Aptos"/>
        </w:rPr>
        <w:t>Handling of donations</w:t>
      </w:r>
    </w:p>
    <w:p w14:paraId="7A6D1C74" w14:textId="77777777" w:rsidR="00BE5CC9" w:rsidRDefault="00BE5CC9" w:rsidP="00BE5CC9">
      <w:r w:rsidRPr="37388504">
        <w:rPr>
          <w:rFonts w:eastAsia="Aptos"/>
        </w:rPr>
        <w:t xml:space="preserve">This procedure does </w:t>
      </w:r>
      <w:r w:rsidRPr="00BE5CC9">
        <w:rPr>
          <w:rFonts w:ascii="Neutrif Pro Bold" w:eastAsia="Aptos" w:hAnsi="Neutrif Pro Bold"/>
          <w:b/>
          <w:bCs/>
        </w:rPr>
        <w:t>not</w:t>
      </w:r>
      <w:r w:rsidRPr="00BE5CC9">
        <w:rPr>
          <w:rFonts w:ascii="Neutrif Pro Bold" w:eastAsia="Aptos" w:hAnsi="Neutrif Pro Bold"/>
        </w:rPr>
        <w:t xml:space="preserve"> </w:t>
      </w:r>
      <w:r w:rsidRPr="37388504">
        <w:rPr>
          <w:rFonts w:eastAsia="Aptos"/>
        </w:rPr>
        <w:t>cover complaints about other aspects of Doncaster Deaf Trust’s services, which are managed under separate complaints procedures</w:t>
      </w:r>
      <w:r>
        <w:rPr>
          <w:rFonts w:eastAsia="Aptos"/>
        </w:rPr>
        <w:t>:</w:t>
      </w:r>
    </w:p>
    <w:p w14:paraId="46E97744" w14:textId="77777777" w:rsidR="00BE5CC9" w:rsidRPr="00C4798F" w:rsidRDefault="00BE5CC9" w:rsidP="00BE5CC9">
      <w:pPr>
        <w:pStyle w:val="ListParagraph"/>
        <w:numPr>
          <w:ilvl w:val="0"/>
          <w:numId w:val="8"/>
        </w:numPr>
        <w:rPr>
          <w:rFonts w:eastAsia="Aptos"/>
        </w:rPr>
      </w:pPr>
      <w:r w:rsidRPr="00C4798F">
        <w:rPr>
          <w:rFonts w:eastAsia="Aptos"/>
        </w:rPr>
        <w:t>Little Learners Day Nursery</w:t>
      </w:r>
    </w:p>
    <w:p w14:paraId="05913F8D" w14:textId="77777777" w:rsidR="00BE5CC9" w:rsidRPr="002472AF" w:rsidRDefault="00BE5CC9" w:rsidP="00BE5CC9">
      <w:pPr>
        <w:pStyle w:val="ListParagraph"/>
        <w:numPr>
          <w:ilvl w:val="0"/>
          <w:numId w:val="8"/>
        </w:numPr>
        <w:rPr>
          <w:rFonts w:eastAsia="Aptos"/>
        </w:rPr>
      </w:pPr>
      <w:r w:rsidRPr="00C4798F">
        <w:rPr>
          <w:rFonts w:eastAsia="Aptos"/>
        </w:rPr>
        <w:t>Doncaster School for</w:t>
      </w:r>
      <w:r w:rsidRPr="002472AF">
        <w:rPr>
          <w:rFonts w:eastAsia="Aptos"/>
        </w:rPr>
        <w:t xml:space="preserve"> Deaf</w:t>
      </w:r>
      <w:r>
        <w:rPr>
          <w:rFonts w:eastAsia="Aptos"/>
        </w:rPr>
        <w:t xml:space="preserve"> Children</w:t>
      </w:r>
    </w:p>
    <w:p w14:paraId="303FC184" w14:textId="77777777" w:rsidR="00BE5CC9" w:rsidRPr="00C4798F" w:rsidRDefault="00BE5CC9" w:rsidP="00BE5CC9">
      <w:pPr>
        <w:pStyle w:val="ListParagraph"/>
        <w:numPr>
          <w:ilvl w:val="0"/>
          <w:numId w:val="8"/>
        </w:numPr>
        <w:rPr>
          <w:rFonts w:eastAsia="Aptos"/>
        </w:rPr>
      </w:pPr>
      <w:r>
        <w:rPr>
          <w:rFonts w:eastAsia="Aptos"/>
        </w:rPr>
        <w:t>Dickson House Children’s Home</w:t>
      </w:r>
    </w:p>
    <w:p w14:paraId="18EFAEC3" w14:textId="77777777" w:rsidR="00BE5CC9" w:rsidRPr="00C4798F" w:rsidRDefault="00BE5CC9" w:rsidP="00BE5CC9">
      <w:pPr>
        <w:pStyle w:val="ListParagraph"/>
        <w:numPr>
          <w:ilvl w:val="0"/>
          <w:numId w:val="8"/>
        </w:numPr>
        <w:rPr>
          <w:rFonts w:eastAsia="Aptos"/>
        </w:rPr>
      </w:pPr>
      <w:r>
        <w:rPr>
          <w:rFonts w:eastAsia="Aptos"/>
        </w:rPr>
        <w:t>Yorkshire Rose College</w:t>
      </w:r>
    </w:p>
    <w:p w14:paraId="3E101F18" w14:textId="77777777" w:rsidR="00BE5CC9" w:rsidRDefault="00BE5CC9" w:rsidP="00BE5CC9">
      <w:pPr>
        <w:pStyle w:val="ListParagraph"/>
        <w:numPr>
          <w:ilvl w:val="0"/>
          <w:numId w:val="8"/>
        </w:numPr>
      </w:pPr>
      <w:r w:rsidRPr="00C4798F">
        <w:rPr>
          <w:rFonts w:eastAsia="Aptos"/>
        </w:rPr>
        <w:t>Aspire to Be</w:t>
      </w:r>
    </w:p>
    <w:p w14:paraId="0B85B4AA" w14:textId="77777777" w:rsidR="00BE5CC9" w:rsidRPr="00BE5CC9" w:rsidRDefault="00BE5CC9" w:rsidP="00BE5CC9">
      <w:pPr>
        <w:rPr>
          <w:rFonts w:ascii="Neutrif Pro Bold" w:hAnsi="Neutrif Pro Bold"/>
          <w:b/>
          <w:bCs/>
        </w:rPr>
      </w:pPr>
      <w:r w:rsidRPr="00BE5CC9">
        <w:rPr>
          <w:rFonts w:ascii="Neutrif Pro Bold" w:eastAsia="Aptos" w:hAnsi="Neutrif Pro Bold"/>
          <w:b/>
          <w:bCs/>
        </w:rPr>
        <w:t xml:space="preserve">Flexibility </w:t>
      </w:r>
    </w:p>
    <w:p w14:paraId="2370822D" w14:textId="77777777" w:rsidR="00BE5CC9" w:rsidRDefault="00BE5CC9" w:rsidP="00BE5CC9">
      <w:r w:rsidRPr="27B38E03">
        <w:rPr>
          <w:rFonts w:eastAsia="Aptos"/>
        </w:rPr>
        <w:t xml:space="preserve">The organisation will usually follow this procedure when in receipt of a complaint. However, there may be occasions depending on the circumstances surrounding each case when the organisation considers it appropriate to change or to omit parts of the procedure. </w:t>
      </w:r>
    </w:p>
    <w:p w14:paraId="2E3EB677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lastRenderedPageBreak/>
        <w:t>3. How to Make a Complaint</w:t>
      </w:r>
    </w:p>
    <w:p w14:paraId="36EABCF6" w14:textId="77777777" w:rsidR="00BE5CC9" w:rsidRDefault="00BE5CC9" w:rsidP="00BE5CC9">
      <w:r w:rsidRPr="37388504">
        <w:rPr>
          <w:rFonts w:eastAsia="Aptos"/>
        </w:rPr>
        <w:t>A complaint about fundraising can be made by:</w:t>
      </w:r>
    </w:p>
    <w:p w14:paraId="665FF904" w14:textId="77777777" w:rsidR="00BE5CC9" w:rsidRPr="006130C6" w:rsidRDefault="00BE5CC9" w:rsidP="00BE5CC9">
      <w:pPr>
        <w:pStyle w:val="ListParagraph"/>
        <w:numPr>
          <w:ilvl w:val="0"/>
          <w:numId w:val="4"/>
        </w:numPr>
        <w:rPr>
          <w:rFonts w:eastAsia="Aptos"/>
        </w:rPr>
      </w:pPr>
      <w:r w:rsidRPr="006130C6">
        <w:rPr>
          <w:rFonts w:eastAsia="Aptos"/>
        </w:rPr>
        <w:t>A donor or potential donor</w:t>
      </w:r>
    </w:p>
    <w:p w14:paraId="0AE0EB85" w14:textId="77777777" w:rsidR="00BE5CC9" w:rsidRPr="006130C6" w:rsidRDefault="00BE5CC9" w:rsidP="00BE5CC9">
      <w:pPr>
        <w:pStyle w:val="ListParagraph"/>
        <w:numPr>
          <w:ilvl w:val="0"/>
          <w:numId w:val="4"/>
        </w:numPr>
        <w:rPr>
          <w:rFonts w:eastAsia="Aptos"/>
        </w:rPr>
      </w:pPr>
      <w:r w:rsidRPr="006130C6">
        <w:rPr>
          <w:rFonts w:eastAsia="Aptos"/>
        </w:rPr>
        <w:t>A member of the public</w:t>
      </w:r>
    </w:p>
    <w:p w14:paraId="71B7F15B" w14:textId="77777777" w:rsidR="00BE5CC9" w:rsidRPr="006130C6" w:rsidRDefault="00BE5CC9" w:rsidP="00BE5CC9">
      <w:pPr>
        <w:pStyle w:val="ListParagraph"/>
        <w:numPr>
          <w:ilvl w:val="0"/>
          <w:numId w:val="4"/>
        </w:numPr>
        <w:rPr>
          <w:rFonts w:eastAsia="Aptos"/>
        </w:rPr>
      </w:pPr>
      <w:r w:rsidRPr="006130C6">
        <w:rPr>
          <w:rFonts w:eastAsia="Aptos"/>
        </w:rPr>
        <w:t>A beneficiary</w:t>
      </w:r>
    </w:p>
    <w:p w14:paraId="38B3180F" w14:textId="77777777" w:rsidR="00BE5CC9" w:rsidRPr="006130C6" w:rsidRDefault="00BE5CC9" w:rsidP="00BE5CC9">
      <w:pPr>
        <w:pStyle w:val="ListParagraph"/>
        <w:numPr>
          <w:ilvl w:val="0"/>
          <w:numId w:val="4"/>
        </w:numPr>
        <w:rPr>
          <w:rFonts w:eastAsia="Aptos"/>
        </w:rPr>
      </w:pPr>
      <w:r w:rsidRPr="006130C6">
        <w:rPr>
          <w:rFonts w:eastAsia="Aptos"/>
        </w:rPr>
        <w:t>A staff member or volunteer</w:t>
      </w:r>
    </w:p>
    <w:p w14:paraId="49AED5C9" w14:textId="77777777" w:rsidR="00BE5CC9" w:rsidRDefault="00BE5CC9" w:rsidP="00BE5CC9">
      <w:r w:rsidRPr="37388504">
        <w:rPr>
          <w:rFonts w:eastAsia="Aptos"/>
        </w:rPr>
        <w:t>Complaints can be submitted:</w:t>
      </w:r>
    </w:p>
    <w:p w14:paraId="534C4DCB" w14:textId="77777777" w:rsidR="00BE5CC9" w:rsidRPr="006130C6" w:rsidRDefault="00BE5CC9" w:rsidP="00BE5CC9">
      <w:pPr>
        <w:pStyle w:val="ListParagraph"/>
        <w:numPr>
          <w:ilvl w:val="0"/>
          <w:numId w:val="5"/>
        </w:numPr>
        <w:rPr>
          <w:rFonts w:eastAsia="Aptos"/>
        </w:rPr>
      </w:pPr>
      <w:r w:rsidRPr="006130C6">
        <w:rPr>
          <w:rFonts w:eastAsia="Aptos"/>
        </w:rPr>
        <w:t>In writing (letter or email)</w:t>
      </w:r>
    </w:p>
    <w:p w14:paraId="3151536B" w14:textId="77777777" w:rsidR="00BE5CC9" w:rsidRPr="006130C6" w:rsidRDefault="00BE5CC9" w:rsidP="00BE5CC9">
      <w:pPr>
        <w:pStyle w:val="ListParagraph"/>
        <w:numPr>
          <w:ilvl w:val="0"/>
          <w:numId w:val="5"/>
        </w:numPr>
        <w:rPr>
          <w:rFonts w:eastAsia="Aptos"/>
        </w:rPr>
      </w:pPr>
      <w:r w:rsidRPr="006130C6">
        <w:rPr>
          <w:rFonts w:eastAsia="Aptos"/>
        </w:rPr>
        <w:t>Verbally (in person or by phone)</w:t>
      </w:r>
    </w:p>
    <w:p w14:paraId="17F9EE37" w14:textId="77777777" w:rsidR="00BE5CC9" w:rsidRPr="006130C6" w:rsidRDefault="00BE5CC9" w:rsidP="00BE5CC9">
      <w:pPr>
        <w:pStyle w:val="ListParagraph"/>
        <w:numPr>
          <w:ilvl w:val="0"/>
          <w:numId w:val="5"/>
        </w:numPr>
        <w:rPr>
          <w:rFonts w:eastAsia="Aptos"/>
        </w:rPr>
      </w:pPr>
      <w:r w:rsidRPr="006130C6">
        <w:rPr>
          <w:rFonts w:eastAsia="Aptos"/>
        </w:rPr>
        <w:t>Via a representative or advocate</w:t>
      </w:r>
    </w:p>
    <w:p w14:paraId="6A346C40" w14:textId="77777777" w:rsidR="00BE5CC9" w:rsidRDefault="00BE5CC9" w:rsidP="00BE5CC9">
      <w:r w:rsidRPr="37388504">
        <w:rPr>
          <w:rFonts w:eastAsia="Aptos"/>
        </w:rPr>
        <w:t>Contact details:</w:t>
      </w:r>
    </w:p>
    <w:p w14:paraId="7829BCE5" w14:textId="77777777" w:rsidR="00BE5CC9" w:rsidRDefault="00BE5CC9" w:rsidP="00BE5CC9">
      <w:pPr>
        <w:rPr>
          <w:rFonts w:eastAsia="Aptos"/>
        </w:rPr>
      </w:pPr>
      <w:r w:rsidRPr="00BE5CC9">
        <w:rPr>
          <w:rFonts w:ascii="Neutrif Pro Bold" w:eastAsia="Aptos" w:hAnsi="Neutrif Pro Bold"/>
          <w:b/>
          <w:bCs/>
        </w:rPr>
        <w:t>Email:</w:t>
      </w:r>
      <w:r w:rsidRPr="37388504">
        <w:rPr>
          <w:rFonts w:eastAsia="Aptos"/>
        </w:rPr>
        <w:t xml:space="preserve"> </w:t>
      </w:r>
      <w:r>
        <w:rPr>
          <w:rFonts w:eastAsia="Aptos"/>
        </w:rPr>
        <w:t>fundraising@ddt-deaf.org.uk</w:t>
      </w:r>
    </w:p>
    <w:p w14:paraId="7440A1BD" w14:textId="77777777" w:rsidR="00BE5CC9" w:rsidRDefault="00BE5CC9" w:rsidP="00BE5CC9">
      <w:pPr>
        <w:rPr>
          <w:rFonts w:eastAsia="Aptos"/>
        </w:rPr>
      </w:pPr>
      <w:r w:rsidRPr="00BE5CC9">
        <w:rPr>
          <w:rFonts w:ascii="Neutrif Pro Bold" w:eastAsia="Aptos" w:hAnsi="Neutrif Pro Bold"/>
          <w:b/>
          <w:bCs/>
        </w:rPr>
        <w:t>Telephone:</w:t>
      </w:r>
      <w:r w:rsidRPr="37388504">
        <w:rPr>
          <w:rFonts w:eastAsia="Aptos"/>
        </w:rPr>
        <w:t xml:space="preserve"> </w:t>
      </w:r>
      <w:r>
        <w:rPr>
          <w:rFonts w:eastAsia="Aptos"/>
        </w:rPr>
        <w:t>01302 386700</w:t>
      </w:r>
    </w:p>
    <w:p w14:paraId="6E89B5EF" w14:textId="614C6ECA" w:rsidR="00BE5CC9" w:rsidRDefault="00BE5CC9" w:rsidP="00BE5CC9">
      <w:pPr>
        <w:rPr>
          <w:rFonts w:eastAsia="Aptos"/>
        </w:rPr>
      </w:pPr>
      <w:r w:rsidRPr="00BE5CC9">
        <w:rPr>
          <w:rFonts w:ascii="Neutrif Pro Bold" w:eastAsia="Aptos" w:hAnsi="Neutrif Pro Bold"/>
          <w:b/>
          <w:bCs/>
        </w:rPr>
        <w:t>Address:</w:t>
      </w:r>
      <w:r w:rsidRPr="37388504">
        <w:rPr>
          <w:rFonts w:eastAsia="Aptos"/>
        </w:rPr>
        <w:t xml:space="preserve"> </w:t>
      </w:r>
      <w:r>
        <w:rPr>
          <w:rFonts w:eastAsia="Aptos"/>
        </w:rPr>
        <w:t>The Carr Fenton Foundation</w:t>
      </w:r>
      <w:r>
        <w:rPr>
          <w:rFonts w:eastAsia="Aptos"/>
        </w:rPr>
        <w:t>, Leger Way, Doncaster, South Yorkshire, DN2 6AY</w:t>
      </w:r>
    </w:p>
    <w:p w14:paraId="34158FC8" w14:textId="77777777" w:rsidR="00BE5CC9" w:rsidRDefault="00BE5CC9" w:rsidP="00BE5CC9">
      <w:r w:rsidRPr="37388504">
        <w:rPr>
          <w:rFonts w:eastAsia="Aptos"/>
        </w:rPr>
        <w:t>Complainants are encouraged to provide:</w:t>
      </w:r>
    </w:p>
    <w:p w14:paraId="3A39AC2C" w14:textId="77777777" w:rsidR="00BE5CC9" w:rsidRPr="006130C6" w:rsidRDefault="00BE5CC9" w:rsidP="00BE5CC9">
      <w:pPr>
        <w:pStyle w:val="ListParagraph"/>
        <w:numPr>
          <w:ilvl w:val="0"/>
          <w:numId w:val="6"/>
        </w:numPr>
        <w:rPr>
          <w:rFonts w:eastAsia="Aptos"/>
        </w:rPr>
      </w:pPr>
      <w:r w:rsidRPr="006130C6">
        <w:rPr>
          <w:rFonts w:eastAsia="Aptos"/>
        </w:rPr>
        <w:t>Their name and contact details (anonymous complaints will still be considered)</w:t>
      </w:r>
    </w:p>
    <w:p w14:paraId="518ED685" w14:textId="77777777" w:rsidR="00BE5CC9" w:rsidRPr="006130C6" w:rsidRDefault="00BE5CC9" w:rsidP="00BE5CC9">
      <w:pPr>
        <w:pStyle w:val="ListParagraph"/>
        <w:numPr>
          <w:ilvl w:val="0"/>
          <w:numId w:val="6"/>
        </w:numPr>
        <w:rPr>
          <w:rFonts w:eastAsia="Aptos"/>
        </w:rPr>
      </w:pPr>
      <w:r w:rsidRPr="006130C6">
        <w:rPr>
          <w:rFonts w:eastAsia="Aptos"/>
        </w:rPr>
        <w:t>Details of the complaint</w:t>
      </w:r>
    </w:p>
    <w:p w14:paraId="6FC8918B" w14:textId="77777777" w:rsidR="00BE5CC9" w:rsidRPr="006130C6" w:rsidRDefault="00BE5CC9" w:rsidP="00BE5CC9">
      <w:pPr>
        <w:pStyle w:val="ListParagraph"/>
        <w:numPr>
          <w:ilvl w:val="0"/>
          <w:numId w:val="6"/>
        </w:numPr>
        <w:rPr>
          <w:rFonts w:eastAsia="Aptos"/>
        </w:rPr>
      </w:pPr>
      <w:r w:rsidRPr="006130C6">
        <w:rPr>
          <w:rFonts w:eastAsia="Aptos"/>
        </w:rPr>
        <w:t>Date(s) and location(s) of the incident</w:t>
      </w:r>
    </w:p>
    <w:p w14:paraId="7C846A8B" w14:textId="77777777" w:rsidR="00BE5CC9" w:rsidRDefault="00BE5CC9" w:rsidP="00BE5CC9">
      <w:pPr>
        <w:pStyle w:val="ListParagraph"/>
        <w:numPr>
          <w:ilvl w:val="0"/>
          <w:numId w:val="6"/>
        </w:numPr>
        <w:rPr>
          <w:rFonts w:eastAsia="Aptos"/>
        </w:rPr>
      </w:pPr>
      <w:r w:rsidRPr="006130C6">
        <w:rPr>
          <w:rFonts w:eastAsia="Aptos"/>
        </w:rPr>
        <w:t>Names of individuals involved (if known)</w:t>
      </w:r>
    </w:p>
    <w:p w14:paraId="2A49CD1A" w14:textId="77777777" w:rsidR="00804983" w:rsidRPr="00804983" w:rsidRDefault="00804983" w:rsidP="00804983">
      <w:pPr>
        <w:rPr>
          <w:rFonts w:eastAsia="Aptos"/>
        </w:rPr>
      </w:pPr>
    </w:p>
    <w:p w14:paraId="7EF849CF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4. Handling of Complaints</w:t>
      </w:r>
    </w:p>
    <w:p w14:paraId="16347905" w14:textId="77777777" w:rsidR="00BE5CC9" w:rsidRPr="00BE5CC9" w:rsidRDefault="00BE5CC9" w:rsidP="00BE5CC9">
      <w:pPr>
        <w:rPr>
          <w:rFonts w:ascii="Neutrif Pro Bold" w:hAnsi="Neutrif Pro Bold"/>
        </w:rPr>
      </w:pPr>
      <w:r w:rsidRPr="00BE5CC9">
        <w:rPr>
          <w:rFonts w:ascii="Neutrif Pro Bold" w:eastAsia="Aptos" w:hAnsi="Neutrif Pro Bold"/>
          <w:b/>
          <w:bCs/>
        </w:rPr>
        <w:t>Acknowledgement</w:t>
      </w:r>
    </w:p>
    <w:p w14:paraId="7613812A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 xml:space="preserve">All fundraising complaints will be acknowledged within </w:t>
      </w:r>
      <w:r w:rsidRPr="00BE5CC9">
        <w:rPr>
          <w:rFonts w:ascii="Neutrif Pro Bold" w:eastAsia="Aptos" w:hAnsi="Neutrif Pro Bold"/>
          <w:b/>
          <w:bCs/>
        </w:rPr>
        <w:t>5 working days</w:t>
      </w:r>
      <w:r w:rsidRPr="37388504">
        <w:rPr>
          <w:rFonts w:eastAsia="Aptos"/>
        </w:rPr>
        <w:t xml:space="preserve"> of receipt.</w:t>
      </w:r>
    </w:p>
    <w:p w14:paraId="654F2BFB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The acknowledgement will confirm who is handling the complaint and outline the next steps.</w:t>
      </w:r>
    </w:p>
    <w:p w14:paraId="2957229D" w14:textId="77777777" w:rsidR="00BE5CC9" w:rsidRPr="00BE5CC9" w:rsidRDefault="00BE5CC9" w:rsidP="00BE5CC9">
      <w:pPr>
        <w:rPr>
          <w:rFonts w:ascii="Neutrif Pro Bold" w:hAnsi="Neutrif Pro Bold"/>
        </w:rPr>
      </w:pPr>
      <w:r w:rsidRPr="00BE5CC9">
        <w:rPr>
          <w:rFonts w:ascii="Neutrif Pro Bold" w:eastAsia="Aptos" w:hAnsi="Neutrif Pro Bold"/>
          <w:b/>
          <w:bCs/>
        </w:rPr>
        <w:t>Investigation</w:t>
      </w:r>
    </w:p>
    <w:p w14:paraId="0ED7A021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Complaints will be investigated fairly and impartially by an appropriate manager or senior member of staff.</w:t>
      </w:r>
    </w:p>
    <w:p w14:paraId="0126C338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lastRenderedPageBreak/>
        <w:t>All relevant information will be reviewed, including records, communications, and statements where necessary.</w:t>
      </w:r>
    </w:p>
    <w:p w14:paraId="471BFBC8" w14:textId="77777777" w:rsidR="00BE5CC9" w:rsidRPr="00BE5CC9" w:rsidRDefault="00BE5CC9" w:rsidP="00BE5CC9">
      <w:pPr>
        <w:rPr>
          <w:rFonts w:ascii="Neutrif Pro Bold" w:hAnsi="Neutrif Pro Bold"/>
          <w:sz w:val="22"/>
          <w:szCs w:val="22"/>
        </w:rPr>
      </w:pPr>
      <w:r w:rsidRPr="00BE5CC9">
        <w:rPr>
          <w:rFonts w:ascii="Neutrif Pro Bold" w:eastAsia="Aptos" w:hAnsi="Neutrif Pro Bold"/>
          <w:b/>
          <w:bCs/>
        </w:rPr>
        <w:t>Response</w:t>
      </w:r>
    </w:p>
    <w:p w14:paraId="17970997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 xml:space="preserve">A written response will normally be provided within </w:t>
      </w:r>
      <w:r>
        <w:rPr>
          <w:rFonts w:eastAsia="Aptos"/>
          <w:b/>
          <w:bCs/>
        </w:rPr>
        <w:t>1</w:t>
      </w:r>
      <w:r w:rsidRPr="37388504">
        <w:rPr>
          <w:rFonts w:eastAsia="Aptos"/>
          <w:b/>
          <w:bCs/>
        </w:rPr>
        <w:t>0 working days</w:t>
      </w:r>
      <w:r w:rsidRPr="37388504">
        <w:rPr>
          <w:rFonts w:eastAsia="Aptos"/>
        </w:rPr>
        <w:t xml:space="preserve"> of</w:t>
      </w:r>
      <w:r>
        <w:rPr>
          <w:rFonts w:eastAsia="Aptos"/>
        </w:rPr>
        <w:t xml:space="preserve"> a</w:t>
      </w:r>
      <w:r w:rsidRPr="37388504">
        <w:rPr>
          <w:rFonts w:eastAsia="Aptos"/>
        </w:rPr>
        <w:t>cknowledgement.</w:t>
      </w:r>
    </w:p>
    <w:p w14:paraId="1857B44F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If additional time is required, the complainant will be informed of the reason for delay and given an expected response date.</w:t>
      </w:r>
    </w:p>
    <w:p w14:paraId="77ACF4FE" w14:textId="77777777" w:rsidR="00BE5CC9" w:rsidRDefault="00BE5CC9" w:rsidP="00BE5CC9">
      <w:r w:rsidRPr="37388504">
        <w:rPr>
          <w:rFonts w:eastAsia="Aptos"/>
        </w:rPr>
        <w:t>The response will include:</w:t>
      </w:r>
    </w:p>
    <w:p w14:paraId="413F9A40" w14:textId="77777777" w:rsidR="00BE5CC9" w:rsidRDefault="00BE5CC9" w:rsidP="00BE5CC9">
      <w:pPr>
        <w:pStyle w:val="ListParagraph"/>
        <w:numPr>
          <w:ilvl w:val="0"/>
          <w:numId w:val="7"/>
        </w:numPr>
        <w:rPr>
          <w:rFonts w:eastAsia="Aptos"/>
        </w:rPr>
      </w:pPr>
      <w:r w:rsidRPr="0000028C">
        <w:rPr>
          <w:rFonts w:eastAsia="Aptos"/>
        </w:rPr>
        <w:t>A summary of the complaint</w:t>
      </w:r>
      <w:r>
        <w:rPr>
          <w:rFonts w:eastAsia="Aptos"/>
        </w:rPr>
        <w:t xml:space="preserve"> </w:t>
      </w:r>
    </w:p>
    <w:p w14:paraId="400D6B55" w14:textId="77777777" w:rsidR="00BE5CC9" w:rsidRPr="0000028C" w:rsidRDefault="00BE5CC9" w:rsidP="00BE5CC9">
      <w:pPr>
        <w:pStyle w:val="ListParagraph"/>
        <w:numPr>
          <w:ilvl w:val="0"/>
          <w:numId w:val="7"/>
        </w:numPr>
        <w:rPr>
          <w:rFonts w:eastAsia="Aptos"/>
        </w:rPr>
      </w:pPr>
      <w:r w:rsidRPr="0000028C">
        <w:rPr>
          <w:rFonts w:eastAsia="Aptos"/>
        </w:rPr>
        <w:t>Findings of the investigation</w:t>
      </w:r>
    </w:p>
    <w:p w14:paraId="5DDB6CCD" w14:textId="77777777" w:rsidR="00BE5CC9" w:rsidRPr="006130C6" w:rsidRDefault="00BE5CC9" w:rsidP="00BE5CC9">
      <w:pPr>
        <w:pStyle w:val="ListParagraph"/>
        <w:numPr>
          <w:ilvl w:val="0"/>
          <w:numId w:val="7"/>
        </w:numPr>
        <w:rPr>
          <w:rFonts w:eastAsia="Aptos"/>
        </w:rPr>
      </w:pPr>
      <w:r w:rsidRPr="006130C6">
        <w:rPr>
          <w:rFonts w:eastAsia="Aptos"/>
        </w:rPr>
        <w:t>Any actions taken or proposed</w:t>
      </w:r>
    </w:p>
    <w:p w14:paraId="45E9D4E8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Information on how to escalate the complaint if the complainant is not satisfied</w:t>
      </w:r>
    </w:p>
    <w:p w14:paraId="06C16F44" w14:textId="77777777" w:rsidR="00804983" w:rsidRDefault="00804983" w:rsidP="00BE5CC9">
      <w:pPr>
        <w:rPr>
          <w:rFonts w:eastAsia="Aptos"/>
        </w:rPr>
      </w:pPr>
    </w:p>
    <w:p w14:paraId="3699995B" w14:textId="77777777" w:rsidR="00BE5CC9" w:rsidRPr="00BE5CC9" w:rsidRDefault="00BE5CC9" w:rsidP="00BE5CC9">
      <w:pPr>
        <w:rPr>
          <w:rFonts w:ascii="Neutrif Pro Bold" w:eastAsia="Aptos" w:hAnsi="Neutrif Pro Bold"/>
          <w:b/>
          <w:bCs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5. Escalation</w:t>
      </w:r>
    </w:p>
    <w:p w14:paraId="3D9D0011" w14:textId="77777777" w:rsidR="00BE5CC9" w:rsidRDefault="00BE5CC9" w:rsidP="00BE5CC9">
      <w:r w:rsidRPr="37388504">
        <w:rPr>
          <w:rFonts w:eastAsia="Aptos"/>
        </w:rPr>
        <w:t xml:space="preserve">If a complainant is not satisfied with the response, they may </w:t>
      </w:r>
      <w:r>
        <w:rPr>
          <w:rFonts w:eastAsia="Aptos"/>
        </w:rPr>
        <w:t>write to the CEO who will consider any further review or action</w:t>
      </w:r>
      <w:r w:rsidRPr="37388504">
        <w:rPr>
          <w:rFonts w:eastAsia="Aptos"/>
        </w:rPr>
        <w:t>.</w:t>
      </w:r>
    </w:p>
    <w:p w14:paraId="4B185501" w14:textId="77777777" w:rsidR="00BE5CC9" w:rsidRDefault="00BE5CC9" w:rsidP="00BE5CC9">
      <w:r w:rsidRPr="37388504">
        <w:rPr>
          <w:rFonts w:eastAsia="Aptos"/>
        </w:rPr>
        <w:t xml:space="preserve">If the complainant remains dissatisfied after Doncaster Deaf Trust’s internal process is complete, they may </w:t>
      </w:r>
      <w:proofErr w:type="gramStart"/>
      <w:r w:rsidRPr="37388504">
        <w:rPr>
          <w:rFonts w:eastAsia="Aptos"/>
        </w:rPr>
        <w:t>refer</w:t>
      </w:r>
      <w:proofErr w:type="gramEnd"/>
      <w:r w:rsidRPr="37388504">
        <w:rPr>
          <w:rFonts w:eastAsia="Aptos"/>
        </w:rPr>
        <w:t xml:space="preserve"> the complaint to:</w:t>
      </w:r>
    </w:p>
    <w:p w14:paraId="7F81F67A" w14:textId="77777777" w:rsidR="00BE5CC9" w:rsidRPr="00BE5CC9" w:rsidRDefault="00BE5CC9" w:rsidP="00BE5CC9">
      <w:pPr>
        <w:rPr>
          <w:rFonts w:ascii="Neutrif Pro Bold" w:hAnsi="Neutrif Pro Bold"/>
        </w:rPr>
      </w:pPr>
      <w:r w:rsidRPr="00BE5CC9">
        <w:rPr>
          <w:rFonts w:ascii="Neutrif Pro Bold" w:eastAsia="Aptos" w:hAnsi="Neutrif Pro Bold"/>
          <w:b/>
          <w:bCs/>
        </w:rPr>
        <w:t>The Fundraising Regulator</w:t>
      </w:r>
    </w:p>
    <w:p w14:paraId="37D9B4D6" w14:textId="77777777" w:rsidR="00BE5CC9" w:rsidRDefault="00BE5CC9" w:rsidP="00BE5CC9">
      <w:hyperlink r:id="rId7" w:history="1">
        <w:r w:rsidRPr="00DD56A1">
          <w:rPr>
            <w:rStyle w:val="Hyperlink"/>
            <w:rFonts w:eastAsia="Aptos"/>
          </w:rPr>
          <w:t>Make a complaint | Fundraising Regulator</w:t>
        </w:r>
      </w:hyperlink>
    </w:p>
    <w:p w14:paraId="483A786C" w14:textId="77777777" w:rsidR="00804983" w:rsidRDefault="00804983" w:rsidP="00BE5CC9"/>
    <w:p w14:paraId="35FB3BCD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6. Learning and Improvement</w:t>
      </w:r>
    </w:p>
    <w:p w14:paraId="0231FAF2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All fundraising complaints will be recorded and monitored.</w:t>
      </w:r>
    </w:p>
    <w:p w14:paraId="5274D6BA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Trends and recurring issues will be reviewed regularly.</w:t>
      </w:r>
    </w:p>
    <w:p w14:paraId="675E7BFB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Learning from complaints will be used to improve fundraising practices, training, and policies.</w:t>
      </w:r>
    </w:p>
    <w:p w14:paraId="2DEAB6A2" w14:textId="77777777" w:rsidR="00804983" w:rsidRDefault="00804983" w:rsidP="00BE5CC9">
      <w:pPr>
        <w:rPr>
          <w:rFonts w:eastAsia="Aptos"/>
        </w:rPr>
      </w:pPr>
    </w:p>
    <w:p w14:paraId="198F4389" w14:textId="77777777" w:rsidR="00804983" w:rsidRDefault="00804983" w:rsidP="00BE5CC9">
      <w:pPr>
        <w:rPr>
          <w:rFonts w:eastAsia="Aptos"/>
        </w:rPr>
      </w:pPr>
    </w:p>
    <w:p w14:paraId="3B5B4457" w14:textId="77777777" w:rsidR="00804983" w:rsidRDefault="00804983" w:rsidP="00BE5CC9">
      <w:pPr>
        <w:rPr>
          <w:rFonts w:eastAsia="Aptos"/>
        </w:rPr>
      </w:pPr>
    </w:p>
    <w:p w14:paraId="2EC737EF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lastRenderedPageBreak/>
        <w:t>7. Confidentiality and Data Protection</w:t>
      </w:r>
    </w:p>
    <w:p w14:paraId="2BB986F2" w14:textId="77777777" w:rsidR="00BE5CC9" w:rsidRDefault="00BE5CC9" w:rsidP="00BE5CC9">
      <w:pPr>
        <w:rPr>
          <w:rFonts w:eastAsia="Aptos"/>
        </w:rPr>
      </w:pPr>
      <w:r w:rsidRPr="37388504">
        <w:rPr>
          <w:rFonts w:eastAsia="Aptos"/>
        </w:rPr>
        <w:t>All complaints will be handled confidentially and in accordance with data protection legislation. Information will only be shared where necessary to investigate and resolve the complaint.</w:t>
      </w:r>
    </w:p>
    <w:p w14:paraId="537A74ED" w14:textId="77777777" w:rsidR="00804983" w:rsidRDefault="00804983" w:rsidP="00BE5CC9"/>
    <w:p w14:paraId="077AB175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8. Equality and Accessibility</w:t>
      </w:r>
    </w:p>
    <w:p w14:paraId="08F68A2F" w14:textId="77777777" w:rsidR="00BE5CC9" w:rsidRDefault="00BE5CC9" w:rsidP="00BE5CC9">
      <w:r w:rsidRPr="37388504">
        <w:rPr>
          <w:rFonts w:eastAsia="Aptos"/>
        </w:rPr>
        <w:t>Doncaster Deaf Trust is committed to ensuring this complaints procedure is accessible to everyone. Reasonable adjustments will be made to support complainants, including communication in British Sign Language (</w:t>
      </w:r>
      <w:proofErr w:type="spellStart"/>
      <w:r w:rsidRPr="37388504">
        <w:rPr>
          <w:rFonts w:eastAsia="Aptos"/>
        </w:rPr>
        <w:t>BSL</w:t>
      </w:r>
      <w:proofErr w:type="spellEnd"/>
      <w:r w:rsidRPr="37388504">
        <w:rPr>
          <w:rFonts w:eastAsia="Aptos"/>
        </w:rPr>
        <w:t>) or other accessible formats on request.</w:t>
      </w:r>
    </w:p>
    <w:p w14:paraId="751FD4C9" w14:textId="77777777" w:rsidR="00BE5CC9" w:rsidRPr="00BE5CC9" w:rsidRDefault="00BE5CC9" w:rsidP="00BE5CC9">
      <w:pPr>
        <w:rPr>
          <w:rFonts w:ascii="Neutrif Pro Bold" w:hAnsi="Neutrif Pro Bold"/>
          <w:sz w:val="36"/>
          <w:szCs w:val="36"/>
        </w:rPr>
      </w:pPr>
      <w:r w:rsidRPr="00BE5CC9">
        <w:rPr>
          <w:rFonts w:ascii="Neutrif Pro Bold" w:eastAsia="Aptos" w:hAnsi="Neutrif Pro Bold"/>
          <w:b/>
          <w:bCs/>
          <w:sz w:val="36"/>
          <w:szCs w:val="36"/>
        </w:rPr>
        <w:t>9. Review of the Procedure</w:t>
      </w:r>
    </w:p>
    <w:p w14:paraId="61330732" w14:textId="77777777" w:rsidR="00BE5CC9" w:rsidRDefault="00BE5CC9" w:rsidP="00BE5CC9">
      <w:r w:rsidRPr="37388504">
        <w:rPr>
          <w:rFonts w:eastAsia="Aptos"/>
        </w:rPr>
        <w:t>This Fundraising Complaints Procedure will be reviewed regularly to ensure it remains effective, compliant, and reflective of best practice.</w:t>
      </w:r>
    </w:p>
    <w:sectPr w:rsidR="00BE5C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F8D5" w14:textId="77777777" w:rsidR="00292772" w:rsidRDefault="00292772">
      <w:pPr>
        <w:spacing w:after="0" w:line="240" w:lineRule="auto"/>
      </w:pPr>
      <w:r>
        <w:separator/>
      </w:r>
    </w:p>
  </w:endnote>
  <w:endnote w:type="continuationSeparator" w:id="0">
    <w:p w14:paraId="7D6AF3A3" w14:textId="77777777" w:rsidR="00292772" w:rsidRDefault="0029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trif Pro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Neutrif Pro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CF50" w14:textId="553C9B2F" w:rsidR="2D3A3996" w:rsidRDefault="72FF7614" w:rsidP="1E5994AE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1C79926" wp14:editId="1876DB77">
          <wp:simplePos x="0" y="0"/>
          <wp:positionH relativeFrom="column">
            <wp:posOffset>-923925</wp:posOffset>
          </wp:positionH>
          <wp:positionV relativeFrom="paragraph">
            <wp:posOffset>28575</wp:posOffset>
          </wp:positionV>
          <wp:extent cx="7606070" cy="837669"/>
          <wp:effectExtent l="0" t="0" r="0" b="0"/>
          <wp:wrapNone/>
          <wp:docPr id="449943127" name="draw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1882" name="Picture 7741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070" cy="83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C3939DF">
      <w:rPr>
        <w:noProof/>
      </w:rPr>
      <w:drawing>
        <wp:anchor distT="0" distB="0" distL="114300" distR="114300" simplePos="0" relativeHeight="251661312" behindDoc="0" locked="0" layoutInCell="1" allowOverlap="1" wp14:anchorId="19F47402" wp14:editId="0BF5E489">
          <wp:simplePos x="0" y="0"/>
          <wp:positionH relativeFrom="column">
            <wp:posOffset>-638175</wp:posOffset>
          </wp:positionH>
          <wp:positionV relativeFrom="paragraph">
            <wp:posOffset>190500</wp:posOffset>
          </wp:positionV>
          <wp:extent cx="1200750" cy="484513"/>
          <wp:effectExtent l="0" t="0" r="0" b="0"/>
          <wp:wrapNone/>
          <wp:docPr id="11220346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0307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50" cy="484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D3A3996">
      <w:br/>
    </w:r>
    <w:r w:rsidR="1E5994AE">
      <w:rPr>
        <w:noProof/>
      </w:rPr>
      <w:drawing>
        <wp:anchor distT="0" distB="0" distL="114300" distR="114300" simplePos="0" relativeHeight="251660288" behindDoc="0" locked="0" layoutInCell="1" allowOverlap="1" wp14:anchorId="5514A710" wp14:editId="77BC378F">
          <wp:simplePos x="0" y="0"/>
          <wp:positionH relativeFrom="column">
            <wp:posOffset>4495800</wp:posOffset>
          </wp:positionH>
          <wp:positionV relativeFrom="paragraph">
            <wp:posOffset>533400</wp:posOffset>
          </wp:positionV>
          <wp:extent cx="1828155" cy="126000"/>
          <wp:effectExtent l="0" t="0" r="0" b="0"/>
          <wp:wrapNone/>
          <wp:docPr id="105482097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0427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55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D1E7" w14:textId="56ACDDAB" w:rsidR="1E48ADA8" w:rsidRDefault="3F6DC321" w:rsidP="1E5994AE">
    <w:pPr>
      <w:pStyle w:val="Foo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4491497B" wp14:editId="6066B773">
          <wp:simplePos x="0" y="0"/>
          <wp:positionH relativeFrom="column">
            <wp:posOffset>-676275</wp:posOffset>
          </wp:positionH>
          <wp:positionV relativeFrom="paragraph">
            <wp:posOffset>200025</wp:posOffset>
          </wp:positionV>
          <wp:extent cx="1200750" cy="484513"/>
          <wp:effectExtent l="0" t="0" r="0" b="0"/>
          <wp:wrapNone/>
          <wp:docPr id="15486894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030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50" cy="484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48ADA8">
      <w:rPr>
        <w:noProof/>
      </w:rPr>
      <w:drawing>
        <wp:anchor distT="0" distB="0" distL="114300" distR="114300" simplePos="0" relativeHeight="251656192" behindDoc="1" locked="0" layoutInCell="1" allowOverlap="1" wp14:anchorId="1EA8DB2A" wp14:editId="01DF0DA4">
          <wp:simplePos x="0" y="0"/>
          <wp:positionH relativeFrom="column">
            <wp:posOffset>-923925</wp:posOffset>
          </wp:positionH>
          <wp:positionV relativeFrom="paragraph">
            <wp:posOffset>28575</wp:posOffset>
          </wp:positionV>
          <wp:extent cx="7588600" cy="844800"/>
          <wp:effectExtent l="0" t="0" r="0" b="0"/>
          <wp:wrapNone/>
          <wp:docPr id="267207521" name="draw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1882" name="Picture 77418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0" cy="8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48ADA8">
      <w:br/>
    </w:r>
    <w:r w:rsidR="6034A1E5">
      <w:rPr>
        <w:noProof/>
      </w:rPr>
      <w:drawing>
        <wp:anchor distT="0" distB="0" distL="114300" distR="114300" simplePos="0" relativeHeight="251658240" behindDoc="0" locked="0" layoutInCell="1" allowOverlap="1" wp14:anchorId="6304F324" wp14:editId="62B8EB68">
          <wp:simplePos x="0" y="0"/>
          <wp:positionH relativeFrom="column">
            <wp:posOffset>4514850</wp:posOffset>
          </wp:positionH>
          <wp:positionV relativeFrom="paragraph">
            <wp:posOffset>552450</wp:posOffset>
          </wp:positionV>
          <wp:extent cx="1828155" cy="126000"/>
          <wp:effectExtent l="0" t="0" r="0" b="0"/>
          <wp:wrapNone/>
          <wp:docPr id="4734047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0427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55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D2DF" w14:textId="77777777" w:rsidR="00292772" w:rsidRDefault="00292772">
      <w:pPr>
        <w:spacing w:after="0" w:line="240" w:lineRule="auto"/>
      </w:pPr>
      <w:r>
        <w:separator/>
      </w:r>
    </w:p>
  </w:footnote>
  <w:footnote w:type="continuationSeparator" w:id="0">
    <w:p w14:paraId="1F1DF657" w14:textId="77777777" w:rsidR="00292772" w:rsidRDefault="0029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FB1" w14:textId="319FB05E" w:rsidR="2D3A3996" w:rsidRDefault="63E3E44C" w:rsidP="63E3E44C">
    <w:pPr>
      <w:pStyle w:val="Head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5C53D7B" wp14:editId="0B74E25B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581900" cy="288000"/>
          <wp:effectExtent l="0" t="0" r="0" b="0"/>
          <wp:wrapNone/>
          <wp:docPr id="70965856" name="draw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863239" name="Picture 1007863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7316" w14:textId="238CD397" w:rsidR="4CEC3001" w:rsidRDefault="178DCFDB" w:rsidP="4CEC300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C8301" wp14:editId="5B042542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600950" cy="288000"/>
          <wp:effectExtent l="0" t="0" r="0" b="0"/>
          <wp:wrapNone/>
          <wp:docPr id="992353679" name="draw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863239" name="Picture 1007863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75C5F" w14:textId="4C0055C9" w:rsidR="63E3E44C" w:rsidRDefault="63E3E44C" w:rsidP="63E3E44C">
    <w:pPr>
      <w:pStyle w:val="Header"/>
      <w:jc w:val="center"/>
    </w:pPr>
  </w:p>
  <w:p w14:paraId="6F60CDEF" w14:textId="1EEACB2E" w:rsidR="4CEC3001" w:rsidRDefault="4CEC3001" w:rsidP="4CEC3001">
    <w:pPr>
      <w:pStyle w:val="Header"/>
      <w:jc w:val="center"/>
    </w:pPr>
  </w:p>
  <w:p w14:paraId="76D6AD64" w14:textId="775EC59A" w:rsidR="4CEC3001" w:rsidRDefault="1E5994AE" w:rsidP="4CEC3001">
    <w:pPr>
      <w:pStyle w:val="Header"/>
      <w:jc w:val="center"/>
    </w:pPr>
    <w:r>
      <w:rPr>
        <w:noProof/>
      </w:rPr>
      <w:drawing>
        <wp:inline distT="0" distB="0" distL="0" distR="0" wp14:anchorId="6E984044" wp14:editId="6458D5A5">
          <wp:extent cx="2759667" cy="1115805"/>
          <wp:effectExtent l="0" t="0" r="0" b="0"/>
          <wp:docPr id="13476598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5987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667" cy="111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C4639" w14:textId="736F6526" w:rsidR="63E3E44C" w:rsidRDefault="63E3E44C" w:rsidP="63E3E44C">
    <w:pPr>
      <w:pStyle w:val="Header"/>
      <w:jc w:val="center"/>
    </w:pPr>
  </w:p>
  <w:p w14:paraId="08E4C39B" w14:textId="4B48335B" w:rsidR="63E3E44C" w:rsidRDefault="63E3E44C" w:rsidP="63E3E44C">
    <w:pPr>
      <w:pStyle w:val="Header"/>
      <w:jc w:val="center"/>
    </w:pPr>
  </w:p>
  <w:p w14:paraId="2840655F" w14:textId="4C66583E" w:rsidR="63E3E44C" w:rsidRDefault="63E3E44C" w:rsidP="63E3E44C">
    <w:pPr>
      <w:pStyle w:val="Header"/>
      <w:jc w:val="center"/>
    </w:pPr>
  </w:p>
  <w:p w14:paraId="2E7A7BAD" w14:textId="152255D0" w:rsidR="4CEC3001" w:rsidRDefault="4CEC3001" w:rsidP="4CEC30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51B"/>
    <w:multiLevelType w:val="hybridMultilevel"/>
    <w:tmpl w:val="488E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3D9B"/>
    <w:multiLevelType w:val="hybridMultilevel"/>
    <w:tmpl w:val="2EA6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13CD4"/>
    <w:multiLevelType w:val="hybridMultilevel"/>
    <w:tmpl w:val="8FAE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9E8"/>
    <w:multiLevelType w:val="hybridMultilevel"/>
    <w:tmpl w:val="F67E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77ED5"/>
    <w:multiLevelType w:val="hybridMultilevel"/>
    <w:tmpl w:val="2478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75E08"/>
    <w:multiLevelType w:val="hybridMultilevel"/>
    <w:tmpl w:val="3C32D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860E3"/>
    <w:multiLevelType w:val="hybridMultilevel"/>
    <w:tmpl w:val="63FC1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762F7"/>
    <w:multiLevelType w:val="hybridMultilevel"/>
    <w:tmpl w:val="E88E4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0436">
    <w:abstractNumId w:val="7"/>
  </w:num>
  <w:num w:numId="2" w16cid:durableId="420878037">
    <w:abstractNumId w:val="0"/>
  </w:num>
  <w:num w:numId="3" w16cid:durableId="1721250013">
    <w:abstractNumId w:val="4"/>
  </w:num>
  <w:num w:numId="4" w16cid:durableId="777257118">
    <w:abstractNumId w:val="5"/>
  </w:num>
  <w:num w:numId="5" w16cid:durableId="824008591">
    <w:abstractNumId w:val="2"/>
  </w:num>
  <w:num w:numId="6" w16cid:durableId="705638988">
    <w:abstractNumId w:val="1"/>
  </w:num>
  <w:num w:numId="7" w16cid:durableId="1844740013">
    <w:abstractNumId w:val="6"/>
  </w:num>
  <w:num w:numId="8" w16cid:durableId="1805389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88551"/>
    <w:rsid w:val="00237FD1"/>
    <w:rsid w:val="00273FBA"/>
    <w:rsid w:val="00292772"/>
    <w:rsid w:val="00404567"/>
    <w:rsid w:val="00533838"/>
    <w:rsid w:val="00735D7D"/>
    <w:rsid w:val="00804983"/>
    <w:rsid w:val="00BE5CC9"/>
    <w:rsid w:val="00D92F79"/>
    <w:rsid w:val="01E66A8A"/>
    <w:rsid w:val="03EB8353"/>
    <w:rsid w:val="04F6BFA3"/>
    <w:rsid w:val="068470FC"/>
    <w:rsid w:val="070B8FBD"/>
    <w:rsid w:val="07C693DC"/>
    <w:rsid w:val="07FBAE5F"/>
    <w:rsid w:val="08059A2C"/>
    <w:rsid w:val="08E35962"/>
    <w:rsid w:val="098763F8"/>
    <w:rsid w:val="0B910F8A"/>
    <w:rsid w:val="0CC57104"/>
    <w:rsid w:val="0E34092E"/>
    <w:rsid w:val="0EDFB0D8"/>
    <w:rsid w:val="0FEB2981"/>
    <w:rsid w:val="11565AF4"/>
    <w:rsid w:val="11A36127"/>
    <w:rsid w:val="12E40A7B"/>
    <w:rsid w:val="1490FF16"/>
    <w:rsid w:val="16058D15"/>
    <w:rsid w:val="16DB061D"/>
    <w:rsid w:val="17593575"/>
    <w:rsid w:val="178DCFDB"/>
    <w:rsid w:val="18AE4811"/>
    <w:rsid w:val="1A2ED0B2"/>
    <w:rsid w:val="1B023C90"/>
    <w:rsid w:val="1C3C9303"/>
    <w:rsid w:val="1CAA6C79"/>
    <w:rsid w:val="1CB3A2B9"/>
    <w:rsid w:val="1D5CCB42"/>
    <w:rsid w:val="1DBC9A38"/>
    <w:rsid w:val="1E48ADA8"/>
    <w:rsid w:val="1E5994AE"/>
    <w:rsid w:val="1F2B4D8E"/>
    <w:rsid w:val="20058739"/>
    <w:rsid w:val="2139FD27"/>
    <w:rsid w:val="21455092"/>
    <w:rsid w:val="2479D591"/>
    <w:rsid w:val="2535B462"/>
    <w:rsid w:val="25FF967E"/>
    <w:rsid w:val="28388551"/>
    <w:rsid w:val="28BA5FC9"/>
    <w:rsid w:val="291DEA20"/>
    <w:rsid w:val="29ADA394"/>
    <w:rsid w:val="2A727E88"/>
    <w:rsid w:val="2ACE8FA7"/>
    <w:rsid w:val="2B26BD6C"/>
    <w:rsid w:val="2BE5CFA9"/>
    <w:rsid w:val="2C55ADAD"/>
    <w:rsid w:val="2D3A3996"/>
    <w:rsid w:val="2D5548CB"/>
    <w:rsid w:val="2E5C12B5"/>
    <w:rsid w:val="2F4B25E9"/>
    <w:rsid w:val="2FD272F3"/>
    <w:rsid w:val="305F8685"/>
    <w:rsid w:val="307CC6BD"/>
    <w:rsid w:val="32153276"/>
    <w:rsid w:val="322196E2"/>
    <w:rsid w:val="32BDF929"/>
    <w:rsid w:val="33210CCC"/>
    <w:rsid w:val="33BBE33B"/>
    <w:rsid w:val="3490E6A8"/>
    <w:rsid w:val="355B6744"/>
    <w:rsid w:val="36835EE1"/>
    <w:rsid w:val="3683D186"/>
    <w:rsid w:val="36964588"/>
    <w:rsid w:val="3837B737"/>
    <w:rsid w:val="3906F1F5"/>
    <w:rsid w:val="39899DD8"/>
    <w:rsid w:val="3C3C56EC"/>
    <w:rsid w:val="3C7D8FD0"/>
    <w:rsid w:val="3D00D113"/>
    <w:rsid w:val="3DD34EF9"/>
    <w:rsid w:val="3F46E8D6"/>
    <w:rsid w:val="3F6DC321"/>
    <w:rsid w:val="4071907B"/>
    <w:rsid w:val="4160022E"/>
    <w:rsid w:val="41C92651"/>
    <w:rsid w:val="427CCA26"/>
    <w:rsid w:val="42B9D73A"/>
    <w:rsid w:val="430DD9AE"/>
    <w:rsid w:val="44C47A55"/>
    <w:rsid w:val="47AAEEBD"/>
    <w:rsid w:val="4823670A"/>
    <w:rsid w:val="494A4FA7"/>
    <w:rsid w:val="49B932A9"/>
    <w:rsid w:val="49CE3200"/>
    <w:rsid w:val="4A0C6C53"/>
    <w:rsid w:val="4A1A822F"/>
    <w:rsid w:val="4A22C974"/>
    <w:rsid w:val="4BDC86D6"/>
    <w:rsid w:val="4CB91B39"/>
    <w:rsid w:val="4CEC3001"/>
    <w:rsid w:val="4DFAC87E"/>
    <w:rsid w:val="4F3541CA"/>
    <w:rsid w:val="527BC947"/>
    <w:rsid w:val="53197442"/>
    <w:rsid w:val="53393C33"/>
    <w:rsid w:val="534E271E"/>
    <w:rsid w:val="54F41EF9"/>
    <w:rsid w:val="5766506F"/>
    <w:rsid w:val="581B5BEF"/>
    <w:rsid w:val="58D1AEEB"/>
    <w:rsid w:val="591C6387"/>
    <w:rsid w:val="5DE906FB"/>
    <w:rsid w:val="6034A1E5"/>
    <w:rsid w:val="60D134B2"/>
    <w:rsid w:val="615D1235"/>
    <w:rsid w:val="63E3E44C"/>
    <w:rsid w:val="6567D959"/>
    <w:rsid w:val="66145422"/>
    <w:rsid w:val="677DE9DC"/>
    <w:rsid w:val="68804364"/>
    <w:rsid w:val="69832907"/>
    <w:rsid w:val="69881691"/>
    <w:rsid w:val="69F2131B"/>
    <w:rsid w:val="6AA1EC81"/>
    <w:rsid w:val="6C3939DF"/>
    <w:rsid w:val="6C9A4B88"/>
    <w:rsid w:val="6DEDCBF5"/>
    <w:rsid w:val="70166F67"/>
    <w:rsid w:val="72FF7614"/>
    <w:rsid w:val="74131AC4"/>
    <w:rsid w:val="750FFA74"/>
    <w:rsid w:val="765EAAC6"/>
    <w:rsid w:val="7A810781"/>
    <w:rsid w:val="7AD317AD"/>
    <w:rsid w:val="7D02072B"/>
    <w:rsid w:val="7EF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D809"/>
  <w15:chartTrackingRefBased/>
  <w15:docId w15:val="{AD56C757-2F60-4910-937F-DBA5DD45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65EAAC6"/>
    <w:rPr>
      <w:rFonts w:ascii="Neutrif Pro" w:eastAsia="Neutrif Pro" w:hAnsi="Neutrif Pro" w:cs="Neutrif Pro"/>
      <w:lang w:val="en-US"/>
    </w:rPr>
  </w:style>
  <w:style w:type="paragraph" w:styleId="Heading1">
    <w:name w:val="heading 1"/>
    <w:basedOn w:val="Normal"/>
    <w:next w:val="Normal"/>
    <w:uiPriority w:val="9"/>
    <w:qFormat/>
    <w:rsid w:val="4A0C6C53"/>
    <w:pPr>
      <w:spacing w:before="360"/>
      <w:outlineLvl w:val="0"/>
    </w:pPr>
    <w:rPr>
      <w:rFonts w:asciiTheme="minorHAnsi" w:eastAsiaTheme="minorEastAsia" w:hAnsiTheme="minorHAnsi" w:cstheme="minorBidi"/>
      <w:b/>
      <w:bCs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6034A1E5"/>
    <w:pPr>
      <w:spacing w:before="40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uiPriority w:val="9"/>
    <w:unhideWhenUsed/>
    <w:qFormat/>
    <w:rsid w:val="6034A1E5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65EAAC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65EAAC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uiPriority w:val="10"/>
    <w:qFormat/>
    <w:rsid w:val="1E5994AE"/>
    <w:pPr>
      <w:spacing w:after="400" w:line="960" w:lineRule="exact"/>
      <w:jc w:val="center"/>
    </w:pPr>
    <w:rPr>
      <w:rFonts w:asciiTheme="minorHAnsi" w:eastAsiaTheme="minorEastAsia" w:hAnsiTheme="minorHAnsi" w:cstheme="minorBidi"/>
      <w:b/>
      <w:bCs/>
      <w:color w:val="000000" w:themeColor="text1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rsid w:val="4A0C6C53"/>
    <w:pPr>
      <w:jc w:val="center"/>
    </w:pPr>
    <w:rPr>
      <w:rFonts w:asciiTheme="minorHAnsi" w:eastAsiaTheme="minorEastAsia" w:hAnsiTheme="minorHAnsi" w:cstheme="minorBidi"/>
      <w:b/>
      <w:bCs/>
      <w:sz w:val="36"/>
      <w:szCs w:val="36"/>
    </w:rPr>
  </w:style>
  <w:style w:type="character" w:customStyle="1" w:styleId="Heading2Char">
    <w:name w:val="Heading 2 Char"/>
    <w:link w:val="Heading2"/>
    <w:uiPriority w:val="9"/>
    <w:rsid w:val="6034A1E5"/>
    <w:rPr>
      <w:noProof w:val="0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237FD1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BE5C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undraisingregulator.org.uk/service/complaints-and-investigations/make-compla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Morton</dc:creator>
  <cp:keywords/>
  <dc:description/>
  <cp:lastModifiedBy>Chloe Drury</cp:lastModifiedBy>
  <cp:revision>24</cp:revision>
  <dcterms:created xsi:type="dcterms:W3CDTF">2026-04-27T08:54:00Z</dcterms:created>
  <dcterms:modified xsi:type="dcterms:W3CDTF">2026-06-02T09:20:00Z</dcterms:modified>
</cp:coreProperties>
</file>